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5"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CellMar>
          <w:left w:w="10" w:type="dxa"/>
          <w:right w:w="10" w:type="dxa"/>
        </w:tblCellMar>
        <w:tblLook w:val="0000" w:firstRow="0" w:lastRow="0" w:firstColumn="0" w:lastColumn="0" w:noHBand="0" w:noVBand="0"/>
      </w:tblPr>
      <w:tblGrid>
        <w:gridCol w:w="4100"/>
        <w:gridCol w:w="5255"/>
      </w:tblGrid>
      <w:tr w:rsidR="009D3115" w14:paraId="0956E5D8" w14:textId="77777777">
        <w:tc>
          <w:tcPr>
            <w:tcW w:w="4100"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7B2AD618" w14:textId="77777777" w:rsidR="009D3115" w:rsidRDefault="003E5445">
            <w:pPr>
              <w:jc w:val="center"/>
            </w:pPr>
            <w:bookmarkStart w:id="0" w:name="_GoBack"/>
            <w:bookmarkEnd w:id="0"/>
            <w:r>
              <w:rPr>
                <w:sz w:val="24"/>
                <w:szCs w:val="24"/>
              </w:rPr>
              <w:t>BỘ CÔNG THƯƠNG</w:t>
            </w:r>
          </w:p>
          <w:p w14:paraId="356454E6" w14:textId="77777777" w:rsidR="009D3115" w:rsidRDefault="003E5445">
            <w:pPr>
              <w:jc w:val="center"/>
            </w:pPr>
            <w:r>
              <w:rPr>
                <w:b/>
                <w:bCs/>
                <w:sz w:val="24"/>
                <w:szCs w:val="24"/>
              </w:rPr>
              <w:t>CỤC ĐỊA CHẤT VÀ KHOÁNG SẢN</w:t>
            </w:r>
          </w:p>
          <w:p w14:paraId="6519D0E5" w14:textId="77777777" w:rsidR="009D3115" w:rsidRDefault="003E5445">
            <w:pPr>
              <w:jc w:val="center"/>
            </w:pPr>
            <w:r>
              <w:rPr>
                <w:b/>
                <w:bCs/>
                <w:sz w:val="24"/>
                <w:szCs w:val="24"/>
              </w:rPr>
              <w:t>VIỆT NAM</w:t>
            </w:r>
          </w:p>
          <w:p w14:paraId="2A6FDD20" w14:textId="77777777" w:rsidR="009D3115" w:rsidRDefault="009D3115">
            <w:pPr>
              <w:pBdr>
                <w:bottom w:val="single" w:sz="6" w:space="1" w:color="000000"/>
              </w:pBdr>
              <w:spacing w:after="60" w:line="120" w:lineRule="auto"/>
              <w:ind w:left="1400" w:right="1400"/>
            </w:pPr>
          </w:p>
        </w:tc>
        <w:tc>
          <w:tcPr>
            <w:tcW w:w="5255" w:type="dxa"/>
            <w:tcBorders>
              <w:top w:val="none" w:sz="0" w:space="0" w:color="FFFFFF"/>
              <w:left w:val="none" w:sz="0" w:space="0" w:color="FFFFFF"/>
              <w:bottom w:val="none" w:sz="0" w:space="0" w:color="FFFFFF"/>
              <w:right w:val="none" w:sz="0" w:space="0" w:color="FFFFFF"/>
            </w:tcBorders>
            <w:tcMar>
              <w:top w:w="0" w:type="dxa"/>
              <w:left w:w="60" w:type="dxa"/>
              <w:bottom w:w="0" w:type="dxa"/>
              <w:right w:w="60" w:type="dxa"/>
            </w:tcMar>
          </w:tcPr>
          <w:p w14:paraId="2082D8BD" w14:textId="77777777" w:rsidR="009D3115" w:rsidRDefault="003E5445">
            <w:pPr>
              <w:jc w:val="center"/>
            </w:pPr>
            <w:r>
              <w:rPr>
                <w:b/>
                <w:bCs/>
                <w:sz w:val="24"/>
                <w:szCs w:val="24"/>
              </w:rPr>
              <w:t>CỘNG HÒA XÃ HỘI CHỦ NGHĨA VIỆT NAM</w:t>
            </w:r>
          </w:p>
          <w:p w14:paraId="56C18268" w14:textId="77777777" w:rsidR="009D3115" w:rsidRDefault="003E5445">
            <w:pPr>
              <w:jc w:val="center"/>
            </w:pPr>
            <w:r>
              <w:rPr>
                <w:b/>
                <w:bCs/>
                <w:sz w:val="26"/>
                <w:szCs w:val="26"/>
              </w:rPr>
              <w:t>Độc lập - Tự do - Hạnh phúc</w:t>
            </w:r>
          </w:p>
          <w:p w14:paraId="58B4AF04" w14:textId="77777777" w:rsidR="009D3115" w:rsidRDefault="009D3115">
            <w:pPr>
              <w:pBdr>
                <w:bottom w:val="single" w:sz="6" w:space="1" w:color="000000"/>
              </w:pBdr>
              <w:spacing w:after="60" w:line="120" w:lineRule="auto"/>
              <w:ind w:left="1178" w:right="1178"/>
            </w:pPr>
          </w:p>
          <w:p w14:paraId="26AB0120" w14:textId="77777777" w:rsidR="009D3115" w:rsidRDefault="003E5445">
            <w:pPr>
              <w:spacing w:before="60"/>
              <w:jc w:val="center"/>
            </w:pPr>
            <w:r>
              <w:rPr>
                <w:i/>
                <w:iCs/>
              </w:rPr>
              <w:t>Hà Nội, ngày      tháng      năm 2026</w:t>
            </w:r>
          </w:p>
        </w:tc>
      </w:tr>
    </w:tbl>
    <w:p w14:paraId="65BC524E" w14:textId="77777777" w:rsidR="009D3115" w:rsidRDefault="003E5445">
      <w:pPr>
        <w:spacing w:before="360" w:line="276" w:lineRule="auto"/>
        <w:ind w:left="200" w:right="200"/>
        <w:jc w:val="center"/>
      </w:pPr>
      <w:r>
        <w:rPr>
          <w:b/>
          <w:bCs/>
        </w:rPr>
        <w:t xml:space="preserve">BẢN ĐÁNH GIÁ THỦ TỤC HÀNH CHÍNH, VIỆC PHÂN QUYỀN, PHÂN CẤP, VIỆC ỨNG DỤNG, THÚC ĐẨY PHÁT TRIỂN KHOA </w:t>
      </w:r>
      <w:r>
        <w:rPr>
          <w:b/>
          <w:bCs/>
        </w:rPr>
        <w:t>HỌC, CÔNG NGHỆ, ĐỔI MỚI SÁNG TẠO VÀ CHUYỂN ĐỔI SỐ, BẢO ĐẢM BÌNH ĐẲNG GIỚI, VIỆC THỰC HIỆN CHÍNH SÁCH DÂN TỘC TRONG DỰ THẢO THÔNG TƯ SỬA ĐỔI, BỔ SUNG MỘT SỐ ĐIỀU CỦA THÔNG TƯ SỐ 54/2026/TT-BCT</w:t>
      </w:r>
    </w:p>
    <w:p w14:paraId="04AE5514" w14:textId="01499B35" w:rsidR="009D3115" w:rsidRDefault="003E5445">
      <w:pPr>
        <w:spacing w:before="60" w:line="276" w:lineRule="auto"/>
        <w:jc w:val="center"/>
      </w:pPr>
      <w:r>
        <w:rPr>
          <w:i/>
          <w:iCs/>
          <w:sz w:val="26"/>
          <w:szCs w:val="26"/>
        </w:rPr>
        <w:t xml:space="preserve">(Kèm theo Tờ trình số        /TTr-ĐCKS ngày      tháng      năm </w:t>
      </w:r>
      <w:r>
        <w:rPr>
          <w:i/>
          <w:iCs/>
          <w:sz w:val="26"/>
          <w:szCs w:val="26"/>
        </w:rPr>
        <w:t xml:space="preserve">2026 </w:t>
      </w:r>
      <w:r w:rsidR="00255905" w:rsidRPr="00255905">
        <w:rPr>
          <w:i/>
          <w:iCs/>
          <w:sz w:val="26"/>
          <w:szCs w:val="26"/>
        </w:rPr>
        <w:br/>
      </w:r>
      <w:r>
        <w:rPr>
          <w:i/>
          <w:iCs/>
          <w:sz w:val="26"/>
          <w:szCs w:val="26"/>
        </w:rPr>
        <w:t>của Cục Địa chất và Khoáng sản Việt Nam)</w:t>
      </w:r>
    </w:p>
    <w:p w14:paraId="2F029278" w14:textId="77777777" w:rsidR="009D3115" w:rsidRDefault="003E5445">
      <w:pPr>
        <w:spacing w:before="240" w:line="276" w:lineRule="auto"/>
        <w:ind w:firstLine="720"/>
        <w:jc w:val="both"/>
      </w:pPr>
      <w:r>
        <w:t>Thực hiện quy định của Luật Ban hành văn bản quy phạm pháp luật, Cục Địa chất và Khoáng sản Việt Nam đã tiến hành đánh giá thủ tục hành chính, việc phân quyền, phân cấp, việc ứng dụng, thúc đẩy phát triển khoa</w:t>
      </w:r>
      <w:r>
        <w:t xml:space="preserve"> học, công nghệ, đổi mới sáng tạo và chuyển đổi số, việc bảo đảm bình đẳng giới, việc thực hiện chính sách dân tộc trong dự thảo Thông tư sửa đổi, bổ sung một số điều của Thông tư số 54/2026/TT-BCT ngày 15 tháng 9 năm 2026 của Bộ trưởng Bộ Công Thương quy </w:t>
      </w:r>
      <w:r>
        <w:t>định về khai thác khoáng sản, khai thác tận thu khoáng sản và thu hồi khoáng sản. Kết quả như sau:</w:t>
      </w:r>
    </w:p>
    <w:p w14:paraId="10B9D3E6" w14:textId="77777777" w:rsidR="009D3115" w:rsidRDefault="003E5445" w:rsidP="00255905">
      <w:pPr>
        <w:keepNext/>
        <w:spacing w:before="160" w:line="276" w:lineRule="auto"/>
        <w:ind w:firstLine="720"/>
        <w:jc w:val="both"/>
      </w:pPr>
      <w:r>
        <w:rPr>
          <w:b/>
          <w:bCs/>
        </w:rPr>
        <w:t>I. TỔ CHỨC THỰC HIỆN ĐÁNH GIÁ</w:t>
      </w:r>
    </w:p>
    <w:p w14:paraId="4402CAEA" w14:textId="77777777" w:rsidR="009D3115" w:rsidRDefault="003E5445">
      <w:pPr>
        <w:keepNext/>
        <w:spacing w:before="120" w:line="276" w:lineRule="auto"/>
        <w:ind w:firstLine="720"/>
        <w:jc w:val="both"/>
      </w:pPr>
      <w:r>
        <w:rPr>
          <w:b/>
          <w:bCs/>
        </w:rPr>
        <w:t>1. Bối cảnh xây dựng dự thảo văn bản quy phạm pháp luật</w:t>
      </w:r>
    </w:p>
    <w:p w14:paraId="3A2F3ADD" w14:textId="77777777" w:rsidR="009D3115" w:rsidRDefault="003E5445">
      <w:pPr>
        <w:spacing w:before="120" w:line="276" w:lineRule="auto"/>
        <w:ind w:firstLine="720"/>
        <w:jc w:val="both"/>
      </w:pPr>
      <w:r>
        <w:t>Dự thảo Thông tư sửa đổi, bổ sung một số điều của Thông tư số 54/2026/T</w:t>
      </w:r>
      <w:r>
        <w:t>T-BCT để đồng bộ với dự thảo Nghị định sửa đổi, bổ sung một số điều của Nghị định số 193/2025/NĐ-CP (sau đây gọi là dự thảo Nghị định); quy định chi tiết việc cắm mốc các điểm khép góc theo khoản 5 Điều 6 Nghị định số 193/2025/NĐ-CP và mẫu văn bản thông bá</w:t>
      </w:r>
      <w:r>
        <w:t>o theo khoản 10 Điều 100đ Nghị định số 193/2025/NĐ-CP (Điều 59 dự thảo Nghị định).</w:t>
      </w:r>
    </w:p>
    <w:p w14:paraId="40F2118B" w14:textId="77777777" w:rsidR="009D3115" w:rsidRDefault="003E5445">
      <w:pPr>
        <w:keepNext/>
        <w:spacing w:before="120" w:line="276" w:lineRule="auto"/>
        <w:ind w:firstLine="720"/>
        <w:jc w:val="both"/>
      </w:pPr>
      <w:r>
        <w:rPr>
          <w:b/>
          <w:bCs/>
        </w:rPr>
        <w:t>2. Mục đích, yêu cầu đánh giá</w:t>
      </w:r>
    </w:p>
    <w:p w14:paraId="2197D27F" w14:textId="77777777" w:rsidR="009D3115" w:rsidRDefault="003E5445">
      <w:pPr>
        <w:spacing w:before="120" w:line="276" w:lineRule="auto"/>
        <w:ind w:firstLine="720"/>
        <w:jc w:val="both"/>
      </w:pPr>
      <w:r>
        <w:t>Xác định dự thảo Thông tư có ban hành mới, sửa đổi, bổ sung hoặc bãi bỏ thủ tục hành chính hay không; đánh giá tác động theo khoản 3 Điều 5 Ngh</w:t>
      </w:r>
      <w:r>
        <w:t>ị định số 78/2025/NĐ-CP và Điều 18, Điều 19 Thông tư số 26/2025/TT-BTP ngày 12 tháng 12 năm 2025 của Bộ trưởng Bộ Tư pháp; đánh giá các nội dung về phân quyền, phân cấp, khoa học, công nghệ, đổi mới sáng tạo và chuyển đổi số, bình đẳng giới, chính sách dân</w:t>
      </w:r>
      <w:r>
        <w:t xml:space="preserve"> tộc.</w:t>
      </w:r>
    </w:p>
    <w:p w14:paraId="5873132C" w14:textId="77777777" w:rsidR="009D3115" w:rsidRDefault="003E5445" w:rsidP="00255905">
      <w:pPr>
        <w:keepNext/>
        <w:spacing w:before="160" w:line="276" w:lineRule="auto"/>
        <w:ind w:firstLine="720"/>
        <w:jc w:val="both"/>
      </w:pPr>
      <w:r>
        <w:rPr>
          <w:b/>
          <w:bCs/>
        </w:rPr>
        <w:lastRenderedPageBreak/>
        <w:t>II. KẾT QUẢ ĐÁNH GIÁ</w:t>
      </w:r>
    </w:p>
    <w:p w14:paraId="51B3724C" w14:textId="77777777" w:rsidR="009D3115" w:rsidRDefault="003E5445">
      <w:pPr>
        <w:keepNext/>
        <w:spacing w:before="120" w:line="276" w:lineRule="auto"/>
        <w:ind w:firstLine="720"/>
        <w:jc w:val="both"/>
      </w:pPr>
      <w:r>
        <w:rPr>
          <w:b/>
          <w:bCs/>
        </w:rPr>
        <w:t>1. Đánh giá thủ tục hành chính</w:t>
      </w:r>
    </w:p>
    <w:p w14:paraId="6C34BC5A" w14:textId="77777777" w:rsidR="009D3115" w:rsidRDefault="003E5445">
      <w:pPr>
        <w:spacing w:before="120" w:line="276" w:lineRule="auto"/>
        <w:ind w:firstLine="720"/>
        <w:jc w:val="both"/>
      </w:pPr>
      <w:r>
        <w:t>a) Dự thảo Thông tư không quy định thủ tục hành chính mới và không quy định lại bộ phận tạo thành của thủ tục hành chính nào.</w:t>
      </w:r>
    </w:p>
    <w:p w14:paraId="3E2AB45E" w14:textId="03ACC26B" w:rsidR="009D3115" w:rsidRDefault="003E5445">
      <w:pPr>
        <w:spacing w:before="120" w:line="276" w:lineRule="auto"/>
        <w:ind w:firstLine="720"/>
        <w:jc w:val="both"/>
      </w:pPr>
      <w:r>
        <w:t xml:space="preserve">b) Hai thủ tục “Chấp thuận khảo sát, đánh giá thông tin chung đối với </w:t>
      </w:r>
      <w:r>
        <w:t>khoáng sản nhóm IV” và “Xác nhận kết quả khảo sát, đánh giá thông tin chung đối với khoáng sản nhóm IV” được quy định tại khoản 6 Điều 4, Điều 6, Điều 7 Thông tư số 54/2026/TT-BCT. Do Điều 88a, Điều 88b Nghị định số 193/2025/NĐ-CP (bổ sung tại Điều 47 dự t</w:t>
      </w:r>
      <w:r>
        <w:t>hảo Nghị định) đã quy định đầy đủ trình tự, thủ tục, dự thảo Thông tư bãi bỏ các quy định này (khoản 3 Điều 9 dự thảo Thông tư) để tránh trùng lặp. Hai thủ tục không bị bãi bỏ mà tiếp tục được thực hiện theo Nghị định; việc đánh giá tác động của thủ tục đư</w:t>
      </w:r>
      <w:r>
        <w:t>ợc sửa đổi thực hiện trong hồ sơ dự thảo Nghị định. Mẫu số 01 đến Mẫu số 05 Phụ lục I Thông tư số 54/2026/TT-BCT được giữ nguyên theo khoản 6 Điều 88a, khoản 4 Điều 88b.</w:t>
      </w:r>
    </w:p>
    <w:p w14:paraId="075654BE" w14:textId="77777777" w:rsidR="009D3115" w:rsidRDefault="003E5445">
      <w:pPr>
        <w:spacing w:before="120" w:line="276" w:lineRule="auto"/>
        <w:ind w:firstLine="720"/>
        <w:jc w:val="both"/>
      </w:pPr>
      <w:r>
        <w:t xml:space="preserve">c) Bãi bỏ khoản 4 Điều 20 và Mẫu số 18 Phụ lục II (văn bản thông báo kết quả lựa chọn </w:t>
      </w:r>
      <w:r>
        <w:t>tổ chức, cá nhân do cơ quan nhà nước ban hành theo Điều 59a Nghị định số 193/2025/NĐ-CP) do Điều 59a được thay thế tại Điều 34 dự thảo Nghị định. Nội dung này không làm phát sinh chi phí đối với tổ chức, cá nhân.</w:t>
      </w:r>
    </w:p>
    <w:p w14:paraId="15FDA14B" w14:textId="77777777" w:rsidR="009D3115" w:rsidRDefault="003E5445">
      <w:pPr>
        <w:spacing w:before="120" w:line="276" w:lineRule="auto"/>
        <w:ind w:firstLine="720"/>
        <w:jc w:val="both"/>
      </w:pPr>
      <w:r>
        <w:t>d) Mẫu số 11, Mẫu số 12 Phụ lục V là mẫu vă</w:t>
      </w:r>
      <w:r>
        <w:t>n bản thông báo để tổ chức, cá nhân thực hiện nghĩa vụ thông báo do khoản 5, khoản 6 Điều 100đ Nghị định số 193/2025/NĐ-CP quy định; Thông tư chỉ quy định mẫu theo khoản 10 Điều 100đ, không quy định thêm thành phần hồ sơ, trình tự, thời hạn. Mẫu được thiết</w:t>
      </w:r>
      <w:r>
        <w:t xml:space="preserve"> kế ngắn gọn, không yêu cầu tài liệu kèm theo.</w:t>
      </w:r>
    </w:p>
    <w:p w14:paraId="3E216A6D" w14:textId="77777777" w:rsidR="009D3115" w:rsidRPr="00255905" w:rsidRDefault="003E5445">
      <w:pPr>
        <w:spacing w:before="120" w:line="276" w:lineRule="auto"/>
        <w:ind w:firstLine="720"/>
        <w:jc w:val="both"/>
        <w:rPr>
          <w:spacing w:val="-2"/>
        </w:rPr>
      </w:pPr>
      <w:r w:rsidRPr="00255905">
        <w:rPr>
          <w:spacing w:val="-2"/>
        </w:rPr>
        <w:t xml:space="preserve">đ) Điều 8a quy định nghĩa vụ cắm mốc, thả phao, lưu giữ hồ sơ cắm mốc, thả phao tại tổ chức, cá nhân (không phải nộp cho cơ quan nhà nước) và nghĩa vụ báo cáo bằng văn bản trong 02 trường hợp: không thực hiện </w:t>
      </w:r>
      <w:r w:rsidRPr="00255905">
        <w:rPr>
          <w:spacing w:val="-2"/>
        </w:rPr>
        <w:t>được việc cắm mốc, thả phao (điểm d khoản 2) và không thể khôi phục ngay mốc, phao do điều kiện thời tiết, thủy văn hoặc trở ngại khách quan (khoản 4). Các nội dung này không có kết quả giải quyết của cơ quan nhà nước, không quy định mẫu, thời hạn, thành p</w:t>
      </w:r>
      <w:r w:rsidRPr="00255905">
        <w:rPr>
          <w:spacing w:val="-2"/>
        </w:rPr>
        <w:t>hần hồ sơ.</w:t>
      </w:r>
    </w:p>
    <w:p w14:paraId="22FCA992" w14:textId="77777777" w:rsidR="009D3115" w:rsidRDefault="003E5445">
      <w:pPr>
        <w:spacing w:before="120" w:line="276" w:lineRule="auto"/>
        <w:ind w:firstLine="720"/>
        <w:jc w:val="both"/>
      </w:pPr>
      <w:r>
        <w:t>e) Việc ghi chép độ ẩm của khoáng sản nguyên khai vào sổ theo dõi (điểm b khoản 2 Điều 10, điểm b khoản 2 Điều 23) là nghĩa vụ ghi chép nội bộ của tổ chức, cá nhân khai thác khoáng sản, không phải thủ tục hành chính.</w:t>
      </w:r>
    </w:p>
    <w:p w14:paraId="520214F0" w14:textId="77777777" w:rsidR="009D3115" w:rsidRPr="00255905" w:rsidRDefault="003E5445">
      <w:pPr>
        <w:spacing w:before="120" w:line="276" w:lineRule="auto"/>
        <w:ind w:firstLine="720"/>
        <w:jc w:val="both"/>
        <w:rPr>
          <w:spacing w:val="-2"/>
        </w:rPr>
      </w:pPr>
      <w:r w:rsidRPr="00255905">
        <w:rPr>
          <w:spacing w:val="-2"/>
        </w:rPr>
        <w:t>g) Điểm a khoản 1 Điều 22 bổ</w:t>
      </w:r>
      <w:r w:rsidRPr="00255905">
        <w:rPr>
          <w:spacing w:val="-2"/>
        </w:rPr>
        <w:t xml:space="preserve"> sung trường hợp đăng ký thu hồi khoáng sản theo điểm a khoản 8 Điều 5 Nghị định số 21/2026/NĐ-CP (được sửa đổi tại Điều 86 dự thảo Nghị định) sử dụng Mẫu số 01 Phụ lục IV; thủ tục được sửa đổi tại Nghị định.</w:t>
      </w:r>
    </w:p>
    <w:p w14:paraId="34EA1F4B" w14:textId="2AF0A5DE" w:rsidR="009D3115" w:rsidRDefault="003E5445">
      <w:pPr>
        <w:spacing w:before="120" w:line="276" w:lineRule="auto"/>
        <w:ind w:firstLine="720"/>
        <w:jc w:val="both"/>
      </w:pPr>
      <w:r>
        <w:lastRenderedPageBreak/>
        <w:t xml:space="preserve">Kết luận: dự thảo Thông tư không ban hành mới, </w:t>
      </w:r>
      <w:r>
        <w:t>không sửa đổi, bổ sung bộ phận tạo thành của thủ tục hành chính nên không lập Biểu mẫu đánh giá tác động thủ tục hành chính và Biểu mẫu tính chi phí tuân thủ theo Thông tư số 26/2025/TT-BTP. Chi phí tuân thủ chủ yếu là chi phí cắm mốc, thả phao để thực hiệ</w:t>
      </w:r>
      <w:r>
        <w:t>n nghĩa vụ đã được quy định tại khoản 5 Điều 6 Nghị định số 193/2025/NĐ-CP; dự thảo chỉ quy định yêu cầu tối thiểu đối với mốc, cho phép tổ chức, cá nhân tự lựa chọn hình dạng, kích thước, vật liệu (điểm đ khoản 3 Điều 8a</w:t>
      </w:r>
      <w:r w:rsidR="00255905" w:rsidRPr="00255905">
        <w:t xml:space="preserve"> dự thảo Thông tư</w:t>
      </w:r>
      <w:r>
        <w:t>) tiếp tục sử dụng</w:t>
      </w:r>
      <w:r>
        <w:t xml:space="preserve"> mốc, phao đã thiết lập (khoản 1 Điều 11 dự thảo Thông tư) để hạn chế chi phí.</w:t>
      </w:r>
    </w:p>
    <w:p w14:paraId="14BF4D80" w14:textId="77777777" w:rsidR="009D3115" w:rsidRDefault="003E5445">
      <w:pPr>
        <w:keepNext/>
        <w:spacing w:before="120" w:line="276" w:lineRule="auto"/>
        <w:ind w:firstLine="720"/>
        <w:jc w:val="both"/>
      </w:pPr>
      <w:r>
        <w:rPr>
          <w:b/>
          <w:bCs/>
        </w:rPr>
        <w:t>2. Việc phân quyền, phân cấp</w:t>
      </w:r>
    </w:p>
    <w:p w14:paraId="0A0CE565" w14:textId="77777777" w:rsidR="009D3115" w:rsidRDefault="003E5445">
      <w:pPr>
        <w:spacing w:before="120" w:line="276" w:lineRule="auto"/>
        <w:ind w:firstLine="720"/>
        <w:jc w:val="both"/>
      </w:pPr>
      <w:r>
        <w:t>Dự thảo Thông tư không có quy định về phân quyền, phân cấp.</w:t>
      </w:r>
    </w:p>
    <w:p w14:paraId="2BC90884" w14:textId="77777777" w:rsidR="009D3115" w:rsidRDefault="003E5445">
      <w:pPr>
        <w:keepNext/>
        <w:spacing w:before="120" w:line="276" w:lineRule="auto"/>
        <w:ind w:firstLine="720"/>
        <w:jc w:val="both"/>
      </w:pPr>
      <w:r>
        <w:rPr>
          <w:b/>
          <w:bCs/>
        </w:rPr>
        <w:t>3. Việc ứng dụng, thúc đẩy phát triển khoa học, công nghệ, đổi mới sáng tạo và chuyển đổ</w:t>
      </w:r>
      <w:r>
        <w:rPr>
          <w:b/>
          <w:bCs/>
        </w:rPr>
        <w:t>i số</w:t>
      </w:r>
    </w:p>
    <w:p w14:paraId="5A588BF7" w14:textId="77777777" w:rsidR="009D3115" w:rsidRDefault="003E5445">
      <w:pPr>
        <w:spacing w:before="120" w:line="276" w:lineRule="auto"/>
        <w:ind w:firstLine="720"/>
        <w:jc w:val="both"/>
      </w:pPr>
      <w:r>
        <w:t xml:space="preserve">Dự thảo Thông tư không có quy định riêng về ứng dụng, thúc đẩy phát triển khoa học, công nghệ, đổi mới sáng tạo và chuyển đổi số. Mẫu số 11, Mẫu số 12 có nội dung cam kết cập nhật thông tin vào Hệ thống điều phối nguồn vật liệu quốc gia theo nghĩa vụ </w:t>
      </w:r>
      <w:r>
        <w:t>đã được quy định tại khoản 5, khoản 6 Điều 100đ Nghị định số 193/2025/NĐ-CP.</w:t>
      </w:r>
    </w:p>
    <w:p w14:paraId="11FE5EAC" w14:textId="77777777" w:rsidR="009D3115" w:rsidRDefault="003E5445">
      <w:pPr>
        <w:keepNext/>
        <w:spacing w:before="120" w:line="276" w:lineRule="auto"/>
        <w:ind w:firstLine="720"/>
        <w:jc w:val="both"/>
      </w:pPr>
      <w:r>
        <w:rPr>
          <w:b/>
          <w:bCs/>
        </w:rPr>
        <w:t>4. Việc bảo đảm bình đẳng giới</w:t>
      </w:r>
    </w:p>
    <w:p w14:paraId="66829B16" w14:textId="77777777" w:rsidR="009D3115" w:rsidRDefault="003E5445">
      <w:pPr>
        <w:spacing w:before="120" w:line="276" w:lineRule="auto"/>
        <w:ind w:firstLine="720"/>
        <w:jc w:val="both"/>
      </w:pPr>
      <w:r>
        <w:t>Dự thảo Thông tư không có quy định về bình đẳng giới; các quy định áp dụng chung cho tổ chức, cá nhân, không phân biệt giới.</w:t>
      </w:r>
    </w:p>
    <w:p w14:paraId="3B849A72" w14:textId="77777777" w:rsidR="009D3115" w:rsidRDefault="003E5445">
      <w:pPr>
        <w:keepNext/>
        <w:spacing w:before="120" w:line="276" w:lineRule="auto"/>
        <w:ind w:firstLine="720"/>
        <w:jc w:val="both"/>
      </w:pPr>
      <w:r>
        <w:rPr>
          <w:b/>
          <w:bCs/>
        </w:rPr>
        <w:t>5. Việc thực hiện chính</w:t>
      </w:r>
      <w:r>
        <w:rPr>
          <w:b/>
          <w:bCs/>
        </w:rPr>
        <w:t xml:space="preserve"> sách dân tộc</w:t>
      </w:r>
    </w:p>
    <w:p w14:paraId="6925E021" w14:textId="77777777" w:rsidR="009D3115" w:rsidRDefault="003E5445">
      <w:pPr>
        <w:spacing w:before="120" w:line="276" w:lineRule="auto"/>
        <w:ind w:firstLine="720"/>
        <w:jc w:val="both"/>
      </w:pPr>
      <w:r>
        <w:t>Dự thảo Thông tư không có quy định về chính sách dân tộc.</w:t>
      </w:r>
    </w:p>
    <w:p w14:paraId="6D142E39" w14:textId="77777777" w:rsidR="009D3115" w:rsidRDefault="003E5445" w:rsidP="00255905">
      <w:pPr>
        <w:keepNext/>
        <w:spacing w:before="160" w:line="276" w:lineRule="auto"/>
        <w:ind w:firstLine="720"/>
        <w:jc w:val="both"/>
      </w:pPr>
      <w:r>
        <w:rPr>
          <w:b/>
          <w:bCs/>
        </w:rPr>
        <w:t>III. PHỤ LỤC</w:t>
      </w:r>
    </w:p>
    <w:p w14:paraId="3A3E318D" w14:textId="77777777" w:rsidR="009D3115" w:rsidRDefault="003E5445">
      <w:pPr>
        <w:spacing w:before="120" w:line="276" w:lineRule="auto"/>
        <w:ind w:firstLine="720"/>
        <w:jc w:val="both"/>
      </w:pPr>
      <w:r>
        <w:t>Không có.</w:t>
      </w:r>
    </w:p>
    <w:sectPr w:rsidR="009D3115">
      <w:headerReference w:type="default" r:id="rId7"/>
      <w:headerReference w:type="first" r:id="rId8"/>
      <w:pgSz w:w="11906" w:h="16838"/>
      <w:pgMar w:top="1134" w:right="850" w:bottom="1134" w:left="1701"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642623" w14:textId="77777777" w:rsidR="003E5445" w:rsidRDefault="003E5445">
      <w:r>
        <w:separator/>
      </w:r>
    </w:p>
  </w:endnote>
  <w:endnote w:type="continuationSeparator" w:id="0">
    <w:p w14:paraId="0B2D76A3" w14:textId="77777777" w:rsidR="003E5445" w:rsidRDefault="003E5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9E4D3E" w14:textId="77777777" w:rsidR="003E5445" w:rsidRDefault="003E5445">
      <w:r>
        <w:separator/>
      </w:r>
    </w:p>
  </w:footnote>
  <w:footnote w:type="continuationSeparator" w:id="0">
    <w:p w14:paraId="11121375" w14:textId="77777777" w:rsidR="003E5445" w:rsidRDefault="003E544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D9C1F1" w14:textId="6841DB8A" w:rsidR="009D3115" w:rsidRDefault="003E5445">
    <w:pPr>
      <w:jc w:val="center"/>
    </w:pPr>
    <w:r>
      <w:rPr>
        <w:sz w:val="26"/>
        <w:szCs w:val="26"/>
      </w:rPr>
      <w:fldChar w:fldCharType="begin"/>
    </w:r>
    <w:r>
      <w:rPr>
        <w:sz w:val="26"/>
        <w:szCs w:val="26"/>
      </w:rPr>
      <w:instrText>PAGE</w:instrText>
    </w:r>
    <w:r>
      <w:rPr>
        <w:sz w:val="26"/>
        <w:szCs w:val="26"/>
      </w:rPr>
      <w:fldChar w:fldCharType="separate"/>
    </w:r>
    <w:r w:rsidR="004F5244">
      <w:rPr>
        <w:noProof/>
        <w:sz w:val="26"/>
        <w:szCs w:val="26"/>
      </w:rPr>
      <w:t>2</w:t>
    </w:r>
    <w:r>
      <w:rPr>
        <w:sz w:val="26"/>
        <w:szCs w:val="2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F92B9" w14:textId="77777777" w:rsidR="009D3115" w:rsidRDefault="009D31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70B15"/>
    <w:multiLevelType w:val="hybridMultilevel"/>
    <w:tmpl w:val="B95A4CF2"/>
    <w:lvl w:ilvl="0" w:tplc="3E3AC33C" w:tentative="1">
      <w:start w:val="1"/>
      <w:numFmt w:val="bullet"/>
      <w:lvlText w:val="●"/>
      <w:lvlJc w:val="left"/>
      <w:pPr>
        <w:ind w:left="720" w:hanging="360"/>
      </w:pPr>
    </w:lvl>
    <w:lvl w:ilvl="1" w:tplc="55FE72DE" w:tentative="1">
      <w:start w:val="1"/>
      <w:numFmt w:val="bullet"/>
      <w:lvlText w:val="○"/>
      <w:lvlJc w:val="left"/>
      <w:pPr>
        <w:ind w:left="1440" w:hanging="360"/>
      </w:pPr>
    </w:lvl>
    <w:lvl w:ilvl="2" w:tplc="4FF628EA" w:tentative="1">
      <w:start w:val="1"/>
      <w:numFmt w:val="bullet"/>
      <w:lvlText w:val="■"/>
      <w:lvlJc w:val="left"/>
      <w:pPr>
        <w:ind w:left="2160" w:hanging="360"/>
      </w:pPr>
    </w:lvl>
    <w:lvl w:ilvl="3" w:tplc="20C6B2A6" w:tentative="1">
      <w:start w:val="1"/>
      <w:numFmt w:val="bullet"/>
      <w:lvlText w:val="●"/>
      <w:lvlJc w:val="left"/>
      <w:pPr>
        <w:ind w:left="2880" w:hanging="360"/>
      </w:pPr>
    </w:lvl>
    <w:lvl w:ilvl="4" w:tplc="08867F3C" w:tentative="1">
      <w:start w:val="1"/>
      <w:numFmt w:val="bullet"/>
      <w:lvlText w:val="○"/>
      <w:lvlJc w:val="left"/>
      <w:pPr>
        <w:ind w:left="3600" w:hanging="360"/>
      </w:pPr>
    </w:lvl>
    <w:lvl w:ilvl="5" w:tplc="B5449CC6" w:tentative="1">
      <w:start w:val="1"/>
      <w:numFmt w:val="bullet"/>
      <w:lvlText w:val="■"/>
      <w:lvlJc w:val="left"/>
      <w:pPr>
        <w:ind w:left="4320" w:hanging="360"/>
      </w:pPr>
    </w:lvl>
    <w:lvl w:ilvl="6" w:tplc="FC0AD45A" w:tentative="1">
      <w:start w:val="1"/>
      <w:numFmt w:val="bullet"/>
      <w:lvlText w:val="●"/>
      <w:lvlJc w:val="left"/>
      <w:pPr>
        <w:ind w:left="5040" w:hanging="360"/>
      </w:pPr>
    </w:lvl>
    <w:lvl w:ilvl="7" w:tplc="093C82DC" w:tentative="1">
      <w:start w:val="1"/>
      <w:numFmt w:val="bullet"/>
      <w:lvlText w:val="●"/>
      <w:lvlJc w:val="left"/>
      <w:pPr>
        <w:ind w:left="5760" w:hanging="360"/>
      </w:pPr>
    </w:lvl>
    <w:lvl w:ilvl="8" w:tplc="9CA87B48" w:tentative="1">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115"/>
    <w:rsid w:val="00081A6D"/>
    <w:rsid w:val="00255905"/>
    <w:rsid w:val="003E5445"/>
    <w:rsid w:val="004F5244"/>
    <w:rsid w:val="007251E5"/>
    <w:rsid w:val="009D311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15A62"/>
  <w15:docId w15:val="{BE78E1ED-4CF0-4C0A-B584-C3BDC4D40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outlineLvl w:val="0"/>
    </w:pPr>
    <w:rPr>
      <w:color w:val="2E74B5"/>
      <w:sz w:val="32"/>
      <w:szCs w:val="32"/>
    </w:rPr>
  </w:style>
  <w:style w:type="paragraph" w:styleId="Heading2">
    <w:name w:val="heading 2"/>
    <w:basedOn w:val="Normal"/>
    <w:next w:val="Normal"/>
    <w:uiPriority w:val="9"/>
    <w:semiHidden/>
    <w:unhideWhenUsed/>
    <w:qFormat/>
    <w:pPr>
      <w:outlineLvl w:val="1"/>
    </w:pPr>
    <w:rPr>
      <w:color w:val="2E74B5"/>
      <w:sz w:val="26"/>
      <w:szCs w:val="26"/>
    </w:rPr>
  </w:style>
  <w:style w:type="paragraph" w:styleId="Heading3">
    <w:name w:val="heading 3"/>
    <w:basedOn w:val="Normal"/>
    <w:next w:val="Normal"/>
    <w:uiPriority w:val="9"/>
    <w:semiHidden/>
    <w:unhideWhenUsed/>
    <w:qFormat/>
    <w:pPr>
      <w:outlineLvl w:val="2"/>
    </w:pPr>
    <w:rPr>
      <w:color w:val="1F4D78"/>
      <w:sz w:val="24"/>
      <w:szCs w:val="24"/>
    </w:rPr>
  </w:style>
  <w:style w:type="paragraph" w:styleId="Heading4">
    <w:name w:val="heading 4"/>
    <w:basedOn w:val="Normal"/>
    <w:next w:val="Normal"/>
    <w:uiPriority w:val="9"/>
    <w:semiHidden/>
    <w:unhideWhenUsed/>
    <w:qFormat/>
    <w:pPr>
      <w:outlineLvl w:val="3"/>
    </w:pPr>
    <w:rPr>
      <w:i/>
      <w:iCs/>
      <w:color w:val="2E74B5"/>
    </w:rPr>
  </w:style>
  <w:style w:type="paragraph" w:styleId="Heading5">
    <w:name w:val="heading 5"/>
    <w:basedOn w:val="Normal"/>
    <w:next w:val="Normal"/>
    <w:uiPriority w:val="9"/>
    <w:semiHidden/>
    <w:unhideWhenUsed/>
    <w:qFormat/>
    <w:pPr>
      <w:outlineLvl w:val="4"/>
    </w:pPr>
    <w:rPr>
      <w:color w:val="2E74B5"/>
    </w:rPr>
  </w:style>
  <w:style w:type="paragraph" w:styleId="Heading6">
    <w:name w:val="heading 6"/>
    <w:basedOn w:val="Normal"/>
    <w:next w:val="Normal"/>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sz w:val="56"/>
      <w:szCs w:val="56"/>
    </w:rPr>
  </w:style>
  <w:style w:type="paragraph" w:customStyle="1" w:styleId="Manh1">
    <w:name w:val="Mạnh1"/>
    <w:basedOn w:val="Normal"/>
    <w:next w:val="Normal"/>
    <w:qFormat/>
    <w:rPr>
      <w:b/>
      <w:bCs/>
    </w:rPr>
  </w:style>
  <w:style w:type="paragraph" w:styleId="ListParagraph">
    <w:name w:val="List Paragraph"/>
    <w:basedOn w:val="Normal"/>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1B49C5-E3DD-4D67-AFC9-90FB1C99DB4B}"/>
</file>

<file path=customXml/itemProps2.xml><?xml version="1.0" encoding="utf-8"?>
<ds:datastoreItem xmlns:ds="http://schemas.openxmlformats.org/officeDocument/2006/customXml" ds:itemID="{23974B42-E324-4126-9AEC-0BC861DE7C44}"/>
</file>

<file path=customXml/itemProps3.xml><?xml version="1.0" encoding="utf-8"?>
<ds:datastoreItem xmlns:ds="http://schemas.openxmlformats.org/officeDocument/2006/customXml" ds:itemID="{DBE15417-07C4-4686-853E-A801DA79E817}"/>
</file>

<file path=docProps/app.xml><?xml version="1.0" encoding="utf-8"?>
<Properties xmlns="http://schemas.openxmlformats.org/officeDocument/2006/extended-properties" xmlns:vt="http://schemas.openxmlformats.org/officeDocument/2006/docPropsVTypes">
  <Template>Normal</Template>
  <TotalTime>0</TotalTime>
  <Pages>3</Pages>
  <Words>892</Words>
  <Characters>5088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Bản đánh giá thủ tục hành chính</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Bản đánh giá thủ tục hành chính</dc:title>
  <dc:creator>Cục Địa chất và Khoáng sản Việt Nam</dc:creator>
  <cp:lastModifiedBy>Admin</cp:lastModifiedBy>
  <cp:revision>2</cp:revision>
  <dcterms:created xsi:type="dcterms:W3CDTF">2026-11-02T08:11:00Z</dcterms:created>
  <dcterms:modified xsi:type="dcterms:W3CDTF">2026-11-02T08:11:00Z</dcterms:modified>
</cp:coreProperties>
</file>